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1D6517" w:rsidRPr="00D2237A" w:rsidTr="00D765D6">
        <w:trPr>
          <w:trHeight w:hRule="exact" w:val="1418"/>
        </w:trPr>
        <w:tc>
          <w:tcPr>
            <w:tcW w:w="6804" w:type="dxa"/>
            <w:shd w:val="clear" w:color="auto" w:fill="auto"/>
            <w:vAlign w:val="center"/>
          </w:tcPr>
          <w:p w:rsidR="001D6517" w:rsidRPr="00D2237A" w:rsidRDefault="00D2237A" w:rsidP="00D765D6">
            <w:pPr>
              <w:pStyle w:val="EPName"/>
              <w:rPr>
                <w:lang w:val="en-GB"/>
              </w:rPr>
            </w:pPr>
            <w:r w:rsidRPr="00D2237A">
              <w:rPr>
                <w:lang w:val="en-GB"/>
              </w:rPr>
              <w:t>European Parliament</w:t>
            </w:r>
          </w:p>
          <w:p w:rsidR="001D6517" w:rsidRPr="00EE15E4" w:rsidRDefault="00EE15E4" w:rsidP="00EE15E4">
            <w:pPr>
              <w:pStyle w:val="EPTerm"/>
              <w:rPr>
                <w:rStyle w:val="HideTWBExt"/>
                <w:noProof w:val="0"/>
                <w:vanish w:val="0"/>
                <w:color w:val="auto"/>
                <w:lang w:val="en-GB"/>
              </w:rPr>
            </w:pPr>
            <w:r>
              <w:t>2014-2019</w:t>
            </w:r>
          </w:p>
        </w:tc>
        <w:tc>
          <w:tcPr>
            <w:tcW w:w="2268" w:type="dxa"/>
            <w:shd w:val="clear" w:color="auto" w:fill="auto"/>
          </w:tcPr>
          <w:p w:rsidR="001D6517" w:rsidRPr="00D2237A" w:rsidRDefault="00F964B5" w:rsidP="00D765D6">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1pt">
                  <v:imagedata r:id="rId7" o:title="EP logo RGB_Mute"/>
                </v:shape>
              </w:pict>
            </w:r>
          </w:p>
        </w:tc>
      </w:tr>
    </w:tbl>
    <w:p w:rsidR="000C7B89" w:rsidRPr="00D2237A" w:rsidRDefault="000C7B89" w:rsidP="000C7B89">
      <w:pPr>
        <w:pStyle w:val="LineTop"/>
        <w:rPr>
          <w:lang w:val="en-GB"/>
        </w:rPr>
      </w:pPr>
    </w:p>
    <w:p w:rsidR="000C7B89" w:rsidRPr="00D2237A" w:rsidRDefault="00EE15E4" w:rsidP="000C7B89">
      <w:pPr>
        <w:pStyle w:val="ZSessionDoc"/>
      </w:pPr>
      <w:r>
        <w:t>Plenary sitting</w:t>
      </w:r>
    </w:p>
    <w:p w:rsidR="00680742" w:rsidRPr="00D2237A" w:rsidRDefault="00680742" w:rsidP="00680742">
      <w:pPr>
        <w:pStyle w:val="LineBottom"/>
      </w:pPr>
    </w:p>
    <w:p w:rsidR="00680742" w:rsidRPr="00D2237A" w:rsidRDefault="00680742" w:rsidP="00680742">
      <w:pPr>
        <w:pStyle w:val="RefProc"/>
      </w:pPr>
      <w:r w:rsidRPr="00D2237A">
        <w:rPr>
          <w:rStyle w:val="HideTWBExt"/>
          <w:b w:val="0"/>
          <w:noProof w:val="0"/>
        </w:rPr>
        <w:t>&lt;NoDocSe&gt;</w:t>
      </w:r>
      <w:r w:rsidR="00EE15E4">
        <w:t>B8-0000/2016</w:t>
      </w:r>
      <w:r w:rsidRPr="00D2237A">
        <w:rPr>
          <w:rStyle w:val="HideTWBExt"/>
          <w:b w:val="0"/>
          <w:noProof w:val="0"/>
        </w:rPr>
        <w:t>&lt;/NoDocSe&gt;</w:t>
      </w:r>
    </w:p>
    <w:p w:rsidR="00680742" w:rsidRPr="00D2237A" w:rsidRDefault="00680742" w:rsidP="00680742">
      <w:pPr>
        <w:pStyle w:val="ZDate"/>
      </w:pPr>
      <w:r w:rsidRPr="00D2237A">
        <w:rPr>
          <w:rStyle w:val="HideTWBExt"/>
          <w:noProof w:val="0"/>
        </w:rPr>
        <w:t>&lt;Date&gt;</w:t>
      </w:r>
      <w:r w:rsidR="00EE15E4" w:rsidRPr="00EE15E4">
        <w:rPr>
          <w:rStyle w:val="HideTWBInt"/>
        </w:rPr>
        <w:t>{01/09/2016}</w:t>
      </w:r>
      <w:r w:rsidR="00EE15E4">
        <w:t>1.9.2016</w:t>
      </w:r>
      <w:r w:rsidRPr="00D2237A">
        <w:rPr>
          <w:rStyle w:val="HideTWBExt"/>
          <w:noProof w:val="0"/>
        </w:rPr>
        <w:t>&lt;/Date&gt;</w:t>
      </w:r>
    </w:p>
    <w:p w:rsidR="00A93F71" w:rsidRPr="00D2237A" w:rsidRDefault="00A93F71" w:rsidP="00A93F71">
      <w:pPr>
        <w:pStyle w:val="TypeDoc"/>
      </w:pPr>
      <w:r w:rsidRPr="00D2237A">
        <w:rPr>
          <w:rStyle w:val="HideTWBExt"/>
          <w:b w:val="0"/>
          <w:noProof w:val="0"/>
        </w:rPr>
        <w:t>&lt;TitreType&gt;</w:t>
      </w:r>
      <w:r w:rsidR="00EE15E4">
        <w:t>MOTION FOR A RESOLUTION</w:t>
      </w:r>
      <w:r w:rsidRPr="00D2237A">
        <w:rPr>
          <w:rStyle w:val="HideTWBExt"/>
          <w:b w:val="0"/>
          <w:noProof w:val="0"/>
        </w:rPr>
        <w:t>&lt;/TitreType&gt;</w:t>
      </w:r>
    </w:p>
    <w:p w:rsidR="00A93F71" w:rsidRPr="00D2237A" w:rsidRDefault="00A93F71" w:rsidP="00A93F71">
      <w:pPr>
        <w:pStyle w:val="Cover12"/>
      </w:pPr>
      <w:r w:rsidRPr="00D2237A">
        <w:rPr>
          <w:rStyle w:val="HideTWBExt"/>
          <w:noProof w:val="0"/>
        </w:rPr>
        <w:t>&lt;TitreRecueil&gt;</w:t>
      </w:r>
      <w:r w:rsidR="00D2237A" w:rsidRPr="00D2237A">
        <w:t xml:space="preserve">pursuant to </w:t>
      </w:r>
      <w:r w:rsidR="00EE15E4">
        <w:t>Rule 105(3)</w:t>
      </w:r>
      <w:r w:rsidR="00D2237A" w:rsidRPr="00D2237A">
        <w:t xml:space="preserve"> of the Rules of Procedure</w:t>
      </w:r>
      <w:r w:rsidRPr="00D2237A">
        <w:rPr>
          <w:rStyle w:val="HideTWBExt"/>
          <w:noProof w:val="0"/>
        </w:rPr>
        <w:t>&lt;/TitreRecueil&gt;</w:t>
      </w:r>
    </w:p>
    <w:p w:rsidR="006405A7" w:rsidRPr="00D2237A" w:rsidRDefault="006405A7" w:rsidP="006405A7">
      <w:pPr>
        <w:pStyle w:val="CoverNormal"/>
      </w:pPr>
      <w:r w:rsidRPr="00D2237A">
        <w:rPr>
          <w:rStyle w:val="HideTWBExt"/>
          <w:noProof w:val="0"/>
        </w:rPr>
        <w:t>&lt;Titre&gt;</w:t>
      </w:r>
      <w:r w:rsidR="00D2237A" w:rsidRPr="00D2237A">
        <w:t xml:space="preserve">on </w:t>
      </w:r>
      <w:r w:rsidR="00EE15E4">
        <w:t xml:space="preserve">Commission Delegated Regulation (EU) </w:t>
      </w:r>
      <w:r w:rsidR="00D2237A" w:rsidRPr="00D2237A">
        <w:t xml:space="preserve">of </w:t>
      </w:r>
      <w:r w:rsidR="00EE15E4">
        <w:t>30 June 2016</w:t>
      </w:r>
      <w:r w:rsidR="00D2237A" w:rsidRPr="00D2237A">
        <w:t xml:space="preserve"> </w:t>
      </w:r>
      <w:r w:rsidR="00EE15E4">
        <w:t>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r w:rsidRPr="00D2237A">
        <w:rPr>
          <w:rStyle w:val="HideTWBExt"/>
          <w:noProof w:val="0"/>
        </w:rPr>
        <w:t>&lt;/Titre&gt;</w:t>
      </w:r>
    </w:p>
    <w:p w:rsidR="006405A7" w:rsidRPr="00D2237A" w:rsidRDefault="006405A7" w:rsidP="006405A7">
      <w:pPr>
        <w:pStyle w:val="CoverNormal"/>
      </w:pPr>
      <w:r w:rsidRPr="00D2237A">
        <w:rPr>
          <w:rStyle w:val="HideTWBExt"/>
          <w:noProof w:val="0"/>
        </w:rPr>
        <w:t>&lt;DocRef&gt;</w:t>
      </w:r>
      <w:r w:rsidR="00D2237A" w:rsidRPr="00D2237A">
        <w:t>(</w:t>
      </w:r>
      <w:r w:rsidR="00EE15E4">
        <w:t>C(2016)03999 – 2016/2816</w:t>
      </w:r>
      <w:r w:rsidR="00D2237A" w:rsidRPr="00D2237A">
        <w:t>(DEA))</w:t>
      </w:r>
      <w:r w:rsidRPr="00D2237A">
        <w:rPr>
          <w:rStyle w:val="HideTWBExt"/>
          <w:noProof w:val="0"/>
        </w:rPr>
        <w:t>&lt;/DocRef&gt;</w:t>
      </w:r>
    </w:p>
    <w:p w:rsidR="006405A7" w:rsidRPr="00D2237A" w:rsidRDefault="006405A7" w:rsidP="006405A7">
      <w:pPr>
        <w:pStyle w:val="Cover12"/>
      </w:pPr>
    </w:p>
    <w:p w:rsidR="00A93F71" w:rsidRPr="00D2237A" w:rsidRDefault="00A93F71" w:rsidP="00A93F71">
      <w:pPr>
        <w:pStyle w:val="CoverBold24"/>
      </w:pPr>
      <w:r w:rsidRPr="00D2237A">
        <w:rPr>
          <w:rStyle w:val="HideTWBExt"/>
          <w:b w:val="0"/>
          <w:noProof w:val="0"/>
        </w:rPr>
        <w:t>&lt;OptDel&gt;&lt;Commission&gt;</w:t>
      </w:r>
      <w:r w:rsidR="00EE15E4" w:rsidRPr="00EE15E4">
        <w:rPr>
          <w:rStyle w:val="HideTWBInt"/>
        </w:rPr>
        <w:t>{ECON}</w:t>
      </w:r>
      <w:r w:rsidR="00EE15E4">
        <w:t>Committee on Economic and Monetary Affairs</w:t>
      </w:r>
      <w:r w:rsidRPr="00D2237A">
        <w:rPr>
          <w:rStyle w:val="HideTWBExt"/>
          <w:b w:val="0"/>
          <w:noProof w:val="0"/>
        </w:rPr>
        <w:t>&lt;/Commission&gt;&lt;/OptDel&gt;</w:t>
      </w:r>
    </w:p>
    <w:p w:rsidR="009C47E4" w:rsidRDefault="009C47E4" w:rsidP="00EE15E4">
      <w:pPr>
        <w:pStyle w:val="Cover24"/>
      </w:pPr>
    </w:p>
    <w:p w:rsidR="00EE15E4" w:rsidRDefault="00EE15E4" w:rsidP="00EE15E4">
      <w:pPr>
        <w:pStyle w:val="Cover24"/>
      </w:pPr>
      <w:r>
        <w:t xml:space="preserve">Rapporteur: </w:t>
      </w:r>
      <w:r>
        <w:rPr>
          <w:rStyle w:val="HideTWBExt"/>
          <w:noProof w:val="0"/>
        </w:rPr>
        <w:t>&lt;Depute&gt;</w:t>
      </w:r>
      <w:r>
        <w:t>Pervenche Berès</w:t>
      </w:r>
    </w:p>
    <w:p w:rsidR="00A93F71" w:rsidRPr="00D2237A" w:rsidRDefault="00A93F71" w:rsidP="00A93F71">
      <w:pPr>
        <w:pStyle w:val="Normal12Bold"/>
      </w:pPr>
      <w:r w:rsidRPr="00D2237A">
        <w:br w:type="page"/>
      </w:r>
      <w:r w:rsidR="00EE15E4">
        <w:lastRenderedPageBreak/>
        <w:t>B8</w:t>
      </w:r>
      <w:r w:rsidR="00EE15E4">
        <w:noBreakHyphen/>
      </w:r>
      <w:r w:rsidR="00EE15E4" w:rsidRPr="00EE15E4">
        <w:t>8-0000/2016</w:t>
      </w:r>
    </w:p>
    <w:p w:rsidR="006405A7" w:rsidRPr="00D2237A" w:rsidRDefault="00D2237A" w:rsidP="006405A7">
      <w:pPr>
        <w:pStyle w:val="NormalBold"/>
      </w:pPr>
      <w:r w:rsidRPr="00D2237A">
        <w:t xml:space="preserve">European Parliament resolution on </w:t>
      </w:r>
      <w:r w:rsidR="00EE15E4">
        <w:t xml:space="preserve">Commission Delegated Regulation (EU) </w:t>
      </w:r>
      <w:r w:rsidRPr="00D2237A">
        <w:t xml:space="preserve">of </w:t>
      </w:r>
      <w:r w:rsidR="00EE15E4">
        <w:t>30 June 2016</w:t>
      </w:r>
      <w:r w:rsidRPr="00D2237A">
        <w:t xml:space="preserve"> </w:t>
      </w:r>
      <w:r w:rsidR="00EE15E4" w:rsidRPr="00EE15E4">
        <w:t>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p w:rsidR="006405A7" w:rsidRPr="00D2237A" w:rsidRDefault="006405A7" w:rsidP="006405A7">
      <w:pPr>
        <w:pStyle w:val="NormalBold"/>
      </w:pPr>
      <w:r w:rsidRPr="00D2237A">
        <w:rPr>
          <w:rStyle w:val="HideTWBExt"/>
          <w:b w:val="0"/>
          <w:noProof w:val="0"/>
        </w:rPr>
        <w:t>&lt;OptDel&gt;</w:t>
      </w:r>
      <w:r w:rsidR="00D2237A" w:rsidRPr="00D2237A">
        <w:t>(</w:t>
      </w:r>
      <w:r w:rsidR="00EE15E4">
        <w:t>C</w:t>
      </w:r>
      <w:r w:rsidR="00EE15E4" w:rsidRPr="00EE15E4">
        <w:t>(2016)03999</w:t>
      </w:r>
      <w:r w:rsidR="00EE15E4">
        <w:t xml:space="preserve"> – </w:t>
      </w:r>
      <w:r w:rsidR="00EE15E4" w:rsidRPr="00EE15E4">
        <w:t>2016/2816</w:t>
      </w:r>
      <w:r w:rsidR="00D2237A" w:rsidRPr="00D2237A">
        <w:t>(DEA))</w:t>
      </w:r>
      <w:r w:rsidRPr="00D2237A">
        <w:rPr>
          <w:rStyle w:val="HideTWBExt"/>
          <w:b w:val="0"/>
          <w:noProof w:val="0"/>
        </w:rPr>
        <w:t>&lt;/OptDel&gt;</w:t>
      </w:r>
    </w:p>
    <w:p w:rsidR="006405A7" w:rsidRPr="00D2237A" w:rsidRDefault="006405A7" w:rsidP="006405A7">
      <w:pPr>
        <w:pStyle w:val="Normal12"/>
      </w:pPr>
    </w:p>
    <w:p w:rsidR="00EE15E4" w:rsidRDefault="00EE15E4" w:rsidP="00EE15E4">
      <w:pPr>
        <w:pStyle w:val="Normal12"/>
      </w:pPr>
      <w:r>
        <w:rPr>
          <w:i/>
        </w:rPr>
        <w:t>The European Parliament</w:t>
      </w:r>
      <w:r>
        <w:t>,</w:t>
      </w:r>
    </w:p>
    <w:p w:rsidR="00EE15E4" w:rsidRDefault="00EE15E4" w:rsidP="00EE15E4">
      <w:pPr>
        <w:pStyle w:val="Normal12Hanging"/>
      </w:pPr>
      <w:r>
        <w:t>–</w:t>
      </w:r>
      <w:r>
        <w:tab/>
        <w:t>having regard to the Commission delegated regulation (C(2016)0399</w:t>
      </w:r>
      <w:r w:rsidR="00A237EB">
        <w:t>)  (“the delegated regulation”),</w:t>
      </w:r>
    </w:p>
    <w:p w:rsidR="00EE15E4" w:rsidRDefault="00EE15E4" w:rsidP="00EE15E4">
      <w:pPr>
        <w:pStyle w:val="Normal12Hanging"/>
      </w:pPr>
      <w:r>
        <w:t>–</w:t>
      </w:r>
      <w:r>
        <w:tab/>
        <w:t>having regard to Article 290 of the Treaty on the Functioning of the European Union,</w:t>
      </w:r>
    </w:p>
    <w:p w:rsidR="00EE15E4" w:rsidRDefault="00EE15E4" w:rsidP="00EE15E4">
      <w:pPr>
        <w:pStyle w:val="Normal12Hanging"/>
      </w:pPr>
      <w:r>
        <w:t>–</w:t>
      </w:r>
      <w:r>
        <w:tab/>
        <w:t>having regard to Regulation (EU) No 1286/2014 of the European Parliament and of the Council on key information documents for packaged retail and insurance-based investment products (“PRIIPS”) and in particular Articles 8(5), 10(2) and 13(5) thereof,</w:t>
      </w:r>
    </w:p>
    <w:p w:rsidR="00EE15E4" w:rsidRDefault="00EE15E4" w:rsidP="00EE15E4">
      <w:pPr>
        <w:pStyle w:val="Normal12Hanging"/>
      </w:pPr>
      <w:r>
        <w:t>–</w:t>
      </w:r>
      <w:r>
        <w:tab/>
        <w:t>having regard to Article 13 of Regulation (EU) No 1093/2010 of the European Parliament and of the Council of 24 November 2010 establishing a European Supervisory Authority (European Banking Authority), amending Decision No 716/2009/EC and repealing Commission Decision 2009/78/EC, of Regulation (EU) No 1094/2010 of the European Parliament and of the Council of 24 November 2010 establishing a European Supervisory Authority (European Insurance and Occupational Pensions Authority), amending Decision No 716/2009/EC and repealing Commission Decision 2009/79/EC and of Regulation (EU) No 1095/2010 of the European Parliament and of the Council of 24 November 2010 establishing a European Supervisory Authority (European Securities and Markets Authority), amending Decision No 716/2009/EC and repealing Commission Decision 2009/77/EC</w:t>
      </w:r>
      <w:bookmarkStart w:id="0" w:name="_GoBack"/>
      <w:bookmarkEnd w:id="0"/>
      <w:r>
        <w:t>,</w:t>
      </w:r>
    </w:p>
    <w:p w:rsidR="00EE15E4" w:rsidRDefault="00EE15E4" w:rsidP="00EE15E4">
      <w:pPr>
        <w:pStyle w:val="Normal12Hanging"/>
      </w:pPr>
      <w:r>
        <w:t>–</w:t>
      </w:r>
      <w:r>
        <w:tab/>
        <w:t xml:space="preserve">having regard to the draft regulatory technical standard </w:t>
      </w:r>
      <w:r w:rsidR="00A237EB">
        <w:t xml:space="preserve">(“RTS”) </w:t>
      </w:r>
      <w:r>
        <w:t>submitted on 6 April 2016 by the Joint Committee of the European Supervisory Authorities under Articles 10 and 56 of Regulations (EU) 1093/2010, 1094/2010 and 1095/2010 of the European Parliament and of the Council,</w:t>
      </w:r>
    </w:p>
    <w:p w:rsidR="00EE15E4" w:rsidRPr="008F3373" w:rsidRDefault="00EE15E4" w:rsidP="00EE15E4">
      <w:pPr>
        <w:pStyle w:val="Normal12Hanging"/>
      </w:pPr>
      <w:r>
        <w:t>–</w:t>
      </w:r>
      <w:r>
        <w:tab/>
      </w:r>
      <w:r w:rsidR="00DC1532">
        <w:t>having regard to the</w:t>
      </w:r>
      <w:r w:rsidR="00DC1532">
        <w:rPr>
          <w:b/>
          <w:i/>
        </w:rPr>
        <w:t xml:space="preserve"> </w:t>
      </w:r>
      <w:r w:rsidR="00DC1532" w:rsidRPr="008F3373">
        <w:t>letter</w:t>
      </w:r>
      <w:r w:rsidR="00DC1532" w:rsidRPr="008F3373">
        <w:rPr>
          <w:bCs/>
          <w:iCs/>
        </w:rPr>
        <w:t xml:space="preserve"> announced to the Commission and </w:t>
      </w:r>
      <w:r w:rsidR="00DC1532" w:rsidRPr="008F3373">
        <w:t>sent by the Chair of the Economic and Monetary Affairs Committee to the Commission on 30 June 2016</w:t>
      </w:r>
      <w:r w:rsidR="00DC1532" w:rsidRPr="008F3373">
        <w:rPr>
          <w:bCs/>
          <w:iCs/>
        </w:rPr>
        <w:t>, and the letter by the Chair of the Economic and Monetary Affairs Committee sent on 12 July 2016,</w:t>
      </w:r>
    </w:p>
    <w:p w:rsidR="00EE15E4" w:rsidRDefault="00EE15E4" w:rsidP="00EE15E4">
      <w:pPr>
        <w:pStyle w:val="Normal12Hanging"/>
      </w:pPr>
      <w:r>
        <w:t>–</w:t>
      </w:r>
      <w:r>
        <w:tab/>
        <w:t>having regard to the motion for a resolution by the Committee on Economic and Monetary Affairs,</w:t>
      </w:r>
    </w:p>
    <w:p w:rsidR="00EE15E4" w:rsidRDefault="00EE15E4" w:rsidP="00EE15E4">
      <w:pPr>
        <w:pStyle w:val="Normal12Hanging"/>
      </w:pPr>
      <w:r>
        <w:t>–</w:t>
      </w:r>
      <w:r>
        <w:tab/>
        <w:t>having regard to Rule 105(3) of its Rules of Procedure,</w:t>
      </w:r>
    </w:p>
    <w:p w:rsidR="00DC1532" w:rsidRPr="008F3373" w:rsidRDefault="00DC1532" w:rsidP="00EE15E4">
      <w:pPr>
        <w:pStyle w:val="Normal12Hanging"/>
      </w:pPr>
      <w:r w:rsidRPr="008F3373">
        <w:rPr>
          <w:szCs w:val="24"/>
        </w:rPr>
        <w:t>A.</w:t>
      </w:r>
      <w:r w:rsidRPr="008F3373">
        <w:rPr>
          <w:szCs w:val="24"/>
        </w:rPr>
        <w:tab/>
        <w:t xml:space="preserve">whereas it is essential that consumer information on investment products is comparable </w:t>
      </w:r>
      <w:r w:rsidRPr="008F3373">
        <w:rPr>
          <w:szCs w:val="24"/>
        </w:rPr>
        <w:lastRenderedPageBreak/>
        <w:t>to promote a level playing field in the market no matter which type of financial intermediary manufactures or markets them;</w:t>
      </w:r>
    </w:p>
    <w:p w:rsidR="00EE15E4" w:rsidRPr="008F3373" w:rsidRDefault="008F3373" w:rsidP="00EE15E4">
      <w:pPr>
        <w:pStyle w:val="Normal12Hanging"/>
      </w:pPr>
      <w:r>
        <w:t>B</w:t>
      </w:r>
      <w:r w:rsidR="00EE15E4" w:rsidRPr="008F3373">
        <w:t>.</w:t>
      </w:r>
      <w:r w:rsidR="00EE15E4" w:rsidRPr="008F3373">
        <w:tab/>
      </w:r>
      <w:r w:rsidR="00DC1532" w:rsidRPr="008F3373">
        <w:t>whereas it would be misleading to investors to remove credit risk from the calculation of risk categorisation of insurance products;</w:t>
      </w:r>
    </w:p>
    <w:p w:rsidR="00EE15E4" w:rsidRDefault="008F3373" w:rsidP="00EE15E4">
      <w:pPr>
        <w:pStyle w:val="Normal12Hanging"/>
      </w:pPr>
      <w:r>
        <w:t>C</w:t>
      </w:r>
      <w:r w:rsidR="00EE15E4">
        <w:t>.</w:t>
      </w:r>
      <w:r w:rsidR="00EE15E4">
        <w:tab/>
        <w:t>whereas the treatment of multi-option products still needs to be clarified, in particular in relation to the explicit exemption granted to UCITS funds under Regulation (EU) No 1286/2014;</w:t>
      </w:r>
    </w:p>
    <w:p w:rsidR="00EE15E4" w:rsidRDefault="008F3373" w:rsidP="00EE15E4">
      <w:pPr>
        <w:pStyle w:val="Normal12Hanging"/>
      </w:pPr>
      <w:r>
        <w:t>D</w:t>
      </w:r>
      <w:r w:rsidR="00EE15E4">
        <w:t>.</w:t>
      </w:r>
      <w:r w:rsidR="00EE15E4">
        <w:tab/>
        <w:t>whereas the delegated act as adopted by the Commission contains flaws in the methodology for the calculation of future performance scenarios and does not therefore fulfil the requirement under Regulation (EU) No 1286/2014 to provide information which is “accurate, fair, clear and not misleading” and, in particular, does not show for some PRIIPS, even in the adverse scenario, and even for products which have regularly led to losses over the recommended minimum holding period, that investors could lose money;</w:t>
      </w:r>
    </w:p>
    <w:p w:rsidR="00DC1532" w:rsidRPr="008F3373" w:rsidRDefault="008F3373" w:rsidP="00EE15E4">
      <w:pPr>
        <w:pStyle w:val="Normal12Hanging"/>
      </w:pPr>
      <w:r>
        <w:rPr>
          <w:szCs w:val="24"/>
        </w:rPr>
        <w:t>E</w:t>
      </w:r>
      <w:r w:rsidRPr="008F3373">
        <w:rPr>
          <w:szCs w:val="24"/>
        </w:rPr>
        <w:t>.</w:t>
      </w:r>
      <w:r w:rsidRPr="008F3373">
        <w:rPr>
          <w:szCs w:val="24"/>
        </w:rPr>
        <w:tab/>
        <w:t>w</w:t>
      </w:r>
      <w:r w:rsidR="00DC1532" w:rsidRPr="008F3373">
        <w:rPr>
          <w:szCs w:val="24"/>
        </w:rPr>
        <w:t xml:space="preserve">hereas </w:t>
      </w:r>
      <w:r w:rsidR="00DC1532" w:rsidRPr="008F3373">
        <w:t>the lack of detailed guidance in the delegated regulation on the “comprehension alert” creates a serious risk of inconsistent implementation of this element in the KID across the Single Market</w:t>
      </w:r>
      <w:r w:rsidR="00DC1532" w:rsidRPr="008F3373">
        <w:rPr>
          <w:szCs w:val="24"/>
        </w:rPr>
        <w:t>;</w:t>
      </w:r>
    </w:p>
    <w:p w:rsidR="00DC1532" w:rsidRDefault="00A237EB" w:rsidP="00EE15E4">
      <w:pPr>
        <w:pStyle w:val="Normal12Hanging"/>
      </w:pPr>
      <w:r>
        <w:rPr>
          <w:szCs w:val="24"/>
        </w:rPr>
        <w:t>F</w:t>
      </w:r>
      <w:r w:rsidR="00DC1532" w:rsidRPr="008F3373">
        <w:rPr>
          <w:szCs w:val="24"/>
        </w:rPr>
        <w:t>.</w:t>
      </w:r>
      <w:r w:rsidR="00DC1532" w:rsidRPr="008F3373">
        <w:rPr>
          <w:szCs w:val="24"/>
        </w:rPr>
        <w:tab/>
      </w:r>
      <w:r w:rsidR="00DC1532" w:rsidRPr="008F3373">
        <w:t>whereas Parliament remains of the view that further standardisation of when the comprehension alert will be used should be introduced as an additional RTS mandate;</w:t>
      </w:r>
    </w:p>
    <w:p w:rsidR="00A237EB" w:rsidRDefault="00A237EB" w:rsidP="00A237EB">
      <w:pPr>
        <w:pStyle w:val="Normal12Hanging"/>
      </w:pPr>
      <w:r>
        <w:t>G.</w:t>
      </w:r>
      <w:r>
        <w:tab/>
        <w:t>whereas left unchanged, there is a risk that the rules set out in the delegated regulation go against the spirit and aim of the legislation, which is to provide clear, comparable, understandable and non-misleading information on PRIIPs to retail investors;</w:t>
      </w:r>
    </w:p>
    <w:p w:rsidR="00DC1532" w:rsidRPr="008F3373" w:rsidRDefault="008F3373" w:rsidP="00EE15E4">
      <w:pPr>
        <w:pStyle w:val="Normal12Hanging"/>
      </w:pPr>
      <w:r>
        <w:rPr>
          <w:szCs w:val="24"/>
        </w:rPr>
        <w:t>H</w:t>
      </w:r>
      <w:r w:rsidR="00DC1532" w:rsidRPr="008F3373">
        <w:rPr>
          <w:szCs w:val="24"/>
        </w:rPr>
        <w:t>.</w:t>
      </w:r>
      <w:r w:rsidR="00DC1532" w:rsidRPr="008F3373">
        <w:rPr>
          <w:szCs w:val="24"/>
        </w:rPr>
        <w:tab/>
        <w:t>w</w:t>
      </w:r>
      <w:r w:rsidR="00DC1532" w:rsidRPr="008F3373">
        <w:rPr>
          <w:bCs/>
          <w:iCs/>
        </w:rPr>
        <w:t>hereas in the letter sent by the Chair of the Economic and Monetary affairs committee to the Commission on 30 of June 2016, the Parliament’s negotiating team asked the Commission to assess whether the implementation of Regulation (EU) No 1286/2014 should be delayed</w:t>
      </w:r>
      <w:r w:rsidR="00DC1532" w:rsidRPr="008F3373">
        <w:rPr>
          <w:szCs w:val="24"/>
        </w:rPr>
        <w:t>;</w:t>
      </w:r>
    </w:p>
    <w:p w:rsidR="00DC1532" w:rsidRDefault="00DC1532" w:rsidP="00EE15E4">
      <w:pPr>
        <w:pStyle w:val="Normal12Hanging"/>
      </w:pPr>
    </w:p>
    <w:p w:rsidR="00EE15E4" w:rsidRDefault="00EE15E4" w:rsidP="00EE15E4">
      <w:pPr>
        <w:pStyle w:val="Normal12Hanging"/>
      </w:pPr>
      <w:r>
        <w:t>1.</w:t>
      </w:r>
      <w:r>
        <w:tab/>
        <w:t>Objects to the Commission delegated regulation;</w:t>
      </w:r>
    </w:p>
    <w:p w:rsidR="00EE15E4" w:rsidRDefault="00EE15E4" w:rsidP="00EE15E4">
      <w:pPr>
        <w:pStyle w:val="Normal12Hanging"/>
      </w:pPr>
      <w:r>
        <w:t>2.</w:t>
      </w:r>
      <w:r>
        <w:tab/>
        <w:t>Instructs its President to forward this resolution to the Commission and to notify it that the delegated regulation cannot enter into force;</w:t>
      </w:r>
    </w:p>
    <w:p w:rsidR="00EE15E4" w:rsidRDefault="00EE15E4" w:rsidP="00EE15E4">
      <w:pPr>
        <w:pStyle w:val="Normal12Hanging"/>
      </w:pPr>
      <w:r>
        <w:t>3.</w:t>
      </w:r>
      <w:r>
        <w:tab/>
        <w:t>Calls on the Commission to submit a revised delegated act which takes account of the above concerns;</w:t>
      </w:r>
    </w:p>
    <w:p w:rsidR="00DC1532" w:rsidRPr="008F3373" w:rsidRDefault="008F3373" w:rsidP="00EE15E4">
      <w:pPr>
        <w:pStyle w:val="Normal12Hanging"/>
      </w:pPr>
      <w:r>
        <w:t>4</w:t>
      </w:r>
      <w:r w:rsidR="00DC1532" w:rsidRPr="008F3373">
        <w:t>.</w:t>
      </w:r>
      <w:r w:rsidR="00DC1532" w:rsidRPr="008F3373">
        <w:tab/>
      </w:r>
      <w:r w:rsidR="00DC1532" w:rsidRPr="008F3373">
        <w:rPr>
          <w:bCs/>
          <w:iCs/>
        </w:rPr>
        <w:t>Calls on the Commission to consider a proposal postponing the application date of Regulation (EU) No 1286/2014 to ensure a smooth implementation of the requirements set out in the Regulation and the delegated regulation</w:t>
      </w:r>
      <w:r w:rsidR="00A237EB">
        <w:rPr>
          <w:bCs/>
          <w:iCs/>
        </w:rPr>
        <w:t xml:space="preserve">, and avoid the application of level 1 without RTS being </w:t>
      </w:r>
      <w:r w:rsidR="005424D3">
        <w:rPr>
          <w:bCs/>
          <w:iCs/>
        </w:rPr>
        <w:t>in force</w:t>
      </w:r>
      <w:r w:rsidR="00A237EB">
        <w:rPr>
          <w:bCs/>
          <w:iCs/>
        </w:rPr>
        <w:t xml:space="preserve"> in advance</w:t>
      </w:r>
      <w:r w:rsidR="00DC1532" w:rsidRPr="008F3373">
        <w:t>;</w:t>
      </w:r>
    </w:p>
    <w:p w:rsidR="00F9151F" w:rsidRPr="00D2237A" w:rsidRDefault="008F3373" w:rsidP="00EE15E4">
      <w:pPr>
        <w:pStyle w:val="Normal12Hanging"/>
      </w:pPr>
      <w:r>
        <w:t>5</w:t>
      </w:r>
      <w:r w:rsidR="00EE15E4">
        <w:t>.</w:t>
      </w:r>
      <w:r w:rsidR="00EE15E4">
        <w:tab/>
        <w:t>Instructs its President to forward this resolution to the Council and to the governments and parliaments of the Member States.</w:t>
      </w:r>
    </w:p>
    <w:sectPr w:rsidR="00F9151F" w:rsidRPr="00D2237A" w:rsidSect="008471C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7A" w:rsidRPr="00D2237A" w:rsidRDefault="00D2237A">
      <w:r w:rsidRPr="00D2237A">
        <w:separator/>
      </w:r>
    </w:p>
  </w:endnote>
  <w:endnote w:type="continuationSeparator" w:id="0">
    <w:p w:rsidR="00D2237A" w:rsidRPr="00D2237A" w:rsidRDefault="00D2237A">
      <w:r w:rsidRPr="00D223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5" w:rsidRDefault="008471C5" w:rsidP="008471C5">
    <w:pPr>
      <w:pStyle w:val="Footer"/>
    </w:pPr>
    <w:r>
      <w:t>PE</w:t>
    </w:r>
    <w:r w:rsidRPr="008471C5">
      <w:rPr>
        <w:rStyle w:val="HideTWBExt"/>
      </w:rPr>
      <w:t>&lt;NoPE&gt;</w:t>
    </w:r>
    <w:r>
      <w:t>587.673</w:t>
    </w:r>
    <w:r w:rsidRPr="008471C5">
      <w:rPr>
        <w:rStyle w:val="HideTWBExt"/>
      </w:rPr>
      <w:t>&lt;/NoPE&gt;&lt;Version&gt;</w:t>
    </w:r>
    <w:r>
      <w:t>v02-00</w:t>
    </w:r>
    <w:r w:rsidRPr="008471C5">
      <w:rPr>
        <w:rStyle w:val="HideTWBExt"/>
      </w:rPr>
      <w:t>&lt;/Version&gt;</w:t>
    </w:r>
    <w:r>
      <w:tab/>
    </w:r>
    <w:r>
      <w:fldChar w:fldCharType="begin"/>
    </w:r>
    <w:r>
      <w:instrText xml:space="preserve"> PAGE  \* MERGEFORMAT </w:instrText>
    </w:r>
    <w:r>
      <w:fldChar w:fldCharType="separate"/>
    </w:r>
    <w:r w:rsidR="00F964B5">
      <w:rPr>
        <w:noProof/>
      </w:rPr>
      <w:t>2</w:t>
    </w:r>
    <w:r>
      <w:fldChar w:fldCharType="end"/>
    </w:r>
    <w:r>
      <w:t>/</w:t>
    </w:r>
    <w:r>
      <w:fldChar w:fldCharType="begin"/>
    </w:r>
    <w:r>
      <w:instrText xml:space="preserve"> NUMPAGES  \* MERGEFORMAT </w:instrText>
    </w:r>
    <w:r>
      <w:fldChar w:fldCharType="separate"/>
    </w:r>
    <w:r w:rsidR="00F964B5">
      <w:rPr>
        <w:noProof/>
      </w:rPr>
      <w:t>3</w:t>
    </w:r>
    <w:r>
      <w:fldChar w:fldCharType="end"/>
    </w:r>
    <w:r>
      <w:tab/>
    </w:r>
    <w:r w:rsidRPr="008471C5">
      <w:rPr>
        <w:rStyle w:val="HideTWBExt"/>
      </w:rPr>
      <w:t>&lt;PathFdR&gt;</w:t>
    </w:r>
    <w:r>
      <w:t>RE\1103189EN.docx</w:t>
    </w:r>
    <w:r w:rsidRPr="008471C5">
      <w:rPr>
        <w:rStyle w:val="HideTWBExt"/>
      </w:rPr>
      <w:t>&lt;/PathFdR&gt;</w:t>
    </w:r>
  </w:p>
  <w:p w:rsidR="000C7B89" w:rsidRPr="00D2237A" w:rsidRDefault="008471C5" w:rsidP="008471C5">
    <w:pPr>
      <w:pStyle w:val="Footer2"/>
    </w:pPr>
    <w: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5" w:rsidRDefault="008471C5" w:rsidP="008471C5">
    <w:pPr>
      <w:pStyle w:val="Footer"/>
    </w:pPr>
    <w:r w:rsidRPr="008471C5">
      <w:rPr>
        <w:rStyle w:val="HideTWBExt"/>
      </w:rPr>
      <w:t>&lt;PathFdR&gt;</w:t>
    </w:r>
    <w:r>
      <w:t>RE\1103189EN.docx</w:t>
    </w:r>
    <w:r w:rsidRPr="008471C5">
      <w:rPr>
        <w:rStyle w:val="HideTWBExt"/>
      </w:rPr>
      <w:t>&lt;/PathFdR&gt;</w:t>
    </w:r>
    <w:r>
      <w:tab/>
    </w:r>
    <w:r>
      <w:fldChar w:fldCharType="begin"/>
    </w:r>
    <w:r>
      <w:instrText xml:space="preserve"> PAGE  \* MERGEFORMAT </w:instrText>
    </w:r>
    <w:r>
      <w:fldChar w:fldCharType="separate"/>
    </w:r>
    <w:r w:rsidR="00F964B5">
      <w:rPr>
        <w:noProof/>
      </w:rPr>
      <w:t>3</w:t>
    </w:r>
    <w:r>
      <w:fldChar w:fldCharType="end"/>
    </w:r>
    <w:r>
      <w:t>/</w:t>
    </w:r>
    <w:r>
      <w:fldChar w:fldCharType="begin"/>
    </w:r>
    <w:r>
      <w:instrText xml:space="preserve"> NUMPAGES  \* MERGEFORMAT </w:instrText>
    </w:r>
    <w:r>
      <w:fldChar w:fldCharType="separate"/>
    </w:r>
    <w:r w:rsidR="00F964B5">
      <w:rPr>
        <w:noProof/>
      </w:rPr>
      <w:t>3</w:t>
    </w:r>
    <w:r>
      <w:fldChar w:fldCharType="end"/>
    </w:r>
    <w:r>
      <w:tab/>
      <w:t>PE</w:t>
    </w:r>
    <w:r w:rsidRPr="008471C5">
      <w:rPr>
        <w:rStyle w:val="HideTWBExt"/>
      </w:rPr>
      <w:t>&lt;NoPE&gt;</w:t>
    </w:r>
    <w:r>
      <w:t>587.673</w:t>
    </w:r>
    <w:r w:rsidRPr="008471C5">
      <w:rPr>
        <w:rStyle w:val="HideTWBExt"/>
      </w:rPr>
      <w:t>&lt;/NoPE&gt;&lt;Version&gt;</w:t>
    </w:r>
    <w:r>
      <w:t>v02-00</w:t>
    </w:r>
    <w:r w:rsidRPr="008471C5">
      <w:rPr>
        <w:rStyle w:val="HideTWBExt"/>
      </w:rPr>
      <w:t>&lt;/Version&gt;</w:t>
    </w:r>
  </w:p>
  <w:p w:rsidR="000C7B89" w:rsidRPr="00D2237A" w:rsidRDefault="008471C5" w:rsidP="008471C5">
    <w:pPr>
      <w:pStyle w:val="Footer2"/>
    </w:pPr>
    <w:r>
      <w:tab/>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5" w:rsidRDefault="008471C5" w:rsidP="008471C5">
    <w:pPr>
      <w:pStyle w:val="Footer"/>
    </w:pPr>
    <w:r w:rsidRPr="008471C5">
      <w:rPr>
        <w:rStyle w:val="HideTWBExt"/>
      </w:rPr>
      <w:t>&lt;PathFdR&gt;</w:t>
    </w:r>
    <w:r>
      <w:t>RE\1103189EN.docx</w:t>
    </w:r>
    <w:r w:rsidRPr="008471C5">
      <w:rPr>
        <w:rStyle w:val="HideTWBExt"/>
      </w:rPr>
      <w:t>&lt;/PathFdR&gt;</w:t>
    </w:r>
    <w:r>
      <w:tab/>
    </w:r>
    <w:r>
      <w:tab/>
      <w:t>PE</w:t>
    </w:r>
    <w:r w:rsidRPr="008471C5">
      <w:rPr>
        <w:rStyle w:val="HideTWBExt"/>
      </w:rPr>
      <w:t>&lt;NoPE&gt;</w:t>
    </w:r>
    <w:r>
      <w:t>587.673</w:t>
    </w:r>
    <w:r w:rsidRPr="008471C5">
      <w:rPr>
        <w:rStyle w:val="HideTWBExt"/>
      </w:rPr>
      <w:t>&lt;/NoPE&gt;&lt;Version&gt;</w:t>
    </w:r>
    <w:r>
      <w:t>v02-00</w:t>
    </w:r>
    <w:r w:rsidRPr="008471C5">
      <w:rPr>
        <w:rStyle w:val="HideTWBExt"/>
      </w:rPr>
      <w:t>&lt;/Version&gt;</w:t>
    </w:r>
  </w:p>
  <w:p w:rsidR="000C7B89" w:rsidRPr="00D2237A" w:rsidRDefault="008471C5" w:rsidP="008471C5">
    <w:pPr>
      <w:pStyle w:val="Footer2"/>
      <w:tabs>
        <w:tab w:val="center" w:pos="4535"/>
        <w:tab w:val="right" w:pos="9921"/>
      </w:tabs>
    </w:pPr>
    <w:r>
      <w:t>EN</w:t>
    </w:r>
    <w:r>
      <w:tab/>
    </w:r>
    <w:r w:rsidRPr="008471C5">
      <w:rPr>
        <w:b w:val="0"/>
        <w:i/>
        <w:color w:val="C0C0C0"/>
        <w:sz w:val="22"/>
      </w:rPr>
      <w:t>United in diversity</w:t>
    </w:r>
    <w:r>
      <w:tab/>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7A" w:rsidRPr="00D2237A" w:rsidRDefault="00D2237A">
      <w:r w:rsidRPr="00D2237A">
        <w:separator/>
      </w:r>
    </w:p>
  </w:footnote>
  <w:footnote w:type="continuationSeparator" w:id="0">
    <w:p w:rsidR="00D2237A" w:rsidRPr="00D2237A" w:rsidRDefault="00D2237A">
      <w:r w:rsidRPr="00D2237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5" w:rsidRDefault="00847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5" w:rsidRDefault="00847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5" w:rsidRDefault="00847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HORMNU" w:val=" 2"/>
    <w:docVar w:name="COMKEY" w:val="ECON"/>
    <w:docVar w:name="CopyToNetwork" w:val="-1"/>
    <w:docVar w:name="DELACTDT" w:val="30/06/2016"/>
    <w:docVar w:name="DOCMNU" w:val=" 1"/>
    <w:docVar w:name="DOCTYPEMNU" w:val=" 2"/>
    <w:docVar w:name="LastEditedSection" w:val=" 1"/>
    <w:docVar w:name="RULEMNU" w:val=" 1"/>
    <w:docVar w:name="SERIALNRMNU" w:val=" 2"/>
    <w:docVar w:name="strSubDir" w:val="1103"/>
    <w:docVar w:name="TXTLANGUE" w:val="EN"/>
    <w:docVar w:name="TXTLANGUEMIN" w:val="en"/>
    <w:docVar w:name="TXTNRB" w:val="8-0000/2016"/>
    <w:docVar w:name="TXTNRC" w:val="(2016)03999"/>
    <w:docVar w:name="TXTNRDEA" w:val="2016/2816"/>
    <w:docVar w:name="TXTNRDELREG" w:val=" "/>
    <w:docVar w:name="TXTNRPE" w:val="587.673"/>
    <w:docVar w:name="TXTPEorAP" w:val="PE"/>
    <w:docVar w:name="TXTROUTE" w:val="RE\1103189EN.docx"/>
    <w:docVar w:name="TXTTITLE" w:val="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
    <w:docVar w:name="TXTVERSION" w:val="02-00"/>
  </w:docVars>
  <w:rsids>
    <w:rsidRoot w:val="00D2237A"/>
    <w:rsid w:val="00005AFD"/>
    <w:rsid w:val="000C7B89"/>
    <w:rsid w:val="000F3F4F"/>
    <w:rsid w:val="00105F8B"/>
    <w:rsid w:val="0013138E"/>
    <w:rsid w:val="00152F37"/>
    <w:rsid w:val="00187BF3"/>
    <w:rsid w:val="001D6517"/>
    <w:rsid w:val="001E693A"/>
    <w:rsid w:val="003A6612"/>
    <w:rsid w:val="003C19D7"/>
    <w:rsid w:val="00413E5E"/>
    <w:rsid w:val="005424D3"/>
    <w:rsid w:val="00560E87"/>
    <w:rsid w:val="005610C7"/>
    <w:rsid w:val="00594254"/>
    <w:rsid w:val="005B7040"/>
    <w:rsid w:val="005E0BC3"/>
    <w:rsid w:val="006008EF"/>
    <w:rsid w:val="00627E7C"/>
    <w:rsid w:val="006405A7"/>
    <w:rsid w:val="00680742"/>
    <w:rsid w:val="00765B61"/>
    <w:rsid w:val="007974DD"/>
    <w:rsid w:val="007B50DB"/>
    <w:rsid w:val="008062D6"/>
    <w:rsid w:val="00820F2D"/>
    <w:rsid w:val="00824B90"/>
    <w:rsid w:val="008471C5"/>
    <w:rsid w:val="008A65CF"/>
    <w:rsid w:val="008B1B93"/>
    <w:rsid w:val="008F3373"/>
    <w:rsid w:val="0098344E"/>
    <w:rsid w:val="009C47E4"/>
    <w:rsid w:val="00A237EB"/>
    <w:rsid w:val="00A42E70"/>
    <w:rsid w:val="00A93F71"/>
    <w:rsid w:val="00B73C00"/>
    <w:rsid w:val="00BC3854"/>
    <w:rsid w:val="00C03AB9"/>
    <w:rsid w:val="00CA5674"/>
    <w:rsid w:val="00D2237A"/>
    <w:rsid w:val="00D462E2"/>
    <w:rsid w:val="00D60FF7"/>
    <w:rsid w:val="00D765D6"/>
    <w:rsid w:val="00DC1532"/>
    <w:rsid w:val="00E11F98"/>
    <w:rsid w:val="00E323D6"/>
    <w:rsid w:val="00E856DE"/>
    <w:rsid w:val="00EB1789"/>
    <w:rsid w:val="00ED10D6"/>
    <w:rsid w:val="00EE15E4"/>
    <w:rsid w:val="00F32710"/>
    <w:rsid w:val="00F52719"/>
    <w:rsid w:val="00F75D46"/>
    <w:rsid w:val="00F9151F"/>
    <w:rsid w:val="00F964B5"/>
    <w:rsid w:val="00FB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77175C4-58E3-4668-BAB5-CDAEACA0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pPr>
      <w:spacing w:after="240"/>
    </w:p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pPr>
      <w:spacing w:after="120"/>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locked/>
    <w:rsid w:val="006405A7"/>
    <w:rPr>
      <w:b/>
      <w:sz w:val="24"/>
    </w:rPr>
  </w:style>
  <w:style w:type="paragraph" w:customStyle="1" w:styleId="Normal12Bold">
    <w:name w:val="Normal12Bold"/>
    <w:basedOn w:val="Normal12"/>
    <w:rPr>
      <w:b/>
    </w:rPr>
  </w:style>
  <w:style w:type="paragraph" w:customStyle="1" w:styleId="Normal12Italic">
    <w:name w:val="Normal12Italic"/>
    <w:basedOn w:val="Normal12"/>
    <w:rPr>
      <w:i/>
    </w:rPr>
  </w:style>
  <w:style w:type="paragraph" w:customStyle="1" w:styleId="Normal12Hanging">
    <w:name w:val="Normal12Hanging"/>
    <w:basedOn w:val="Normal12"/>
    <w:pPr>
      <w:ind w:left="567" w:hanging="567"/>
    </w:pPr>
  </w:style>
  <w:style w:type="paragraph" w:customStyle="1" w:styleId="CoverBold">
    <w:name w:val="CoverBold"/>
    <w:basedOn w:val="Normal"/>
    <w:rsid w:val="00824B90"/>
    <w:pPr>
      <w:ind w:left="1418"/>
    </w:pPr>
    <w:rPr>
      <w:b/>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qFormat/>
    <w:pPr>
      <w:ind w:left="1418"/>
    </w:pPr>
  </w:style>
  <w:style w:type="paragraph" w:customStyle="1" w:styleId="CoverNormal">
    <w:name w:val="CoverNormal"/>
    <w:basedOn w:val="Normal"/>
    <w:pPr>
      <w:ind w:left="1418"/>
    </w:pPr>
  </w:style>
  <w:style w:type="paragraph" w:customStyle="1" w:styleId="Hanging12">
    <w:name w:val="Hanging12"/>
    <w:basedOn w:val="Normal12"/>
    <w:pPr>
      <w:tabs>
        <w:tab w:val="left" w:pos="357"/>
      </w:tabs>
      <w:ind w:left="357" w:hanging="357"/>
    </w:pPr>
  </w:style>
  <w:style w:type="paragraph" w:customStyle="1" w:styleId="JustificationTitle">
    <w:name w:val="JustificationTitle"/>
    <w:basedOn w:val="Normal12a12b"/>
    <w:next w:val="Normal12"/>
    <w:pPr>
      <w:keepNext/>
      <w:jc w:val="center"/>
    </w:pPr>
    <w:rPr>
      <w:i/>
    </w:rPr>
  </w:style>
  <w:style w:type="paragraph" w:customStyle="1" w:styleId="Normal12a12bBold">
    <w:name w:val="Normal12a12bBold"/>
    <w:basedOn w:val="Normal12a12b"/>
    <w:rPr>
      <w:b/>
    </w:rPr>
  </w:style>
  <w:style w:type="paragraph" w:customStyle="1" w:styleId="Normal12a12bJ">
    <w:name w:val="Normal12a12bJ"/>
    <w:basedOn w:val="Normal12a12b"/>
    <w:pPr>
      <w:jc w:val="both"/>
    </w:pPr>
  </w:style>
  <w:style w:type="paragraph" w:customStyle="1" w:styleId="Normal12a12bKeep">
    <w:name w:val="Normal12a12bKeep"/>
    <w:basedOn w:val="Normal12a12b"/>
    <w:pPr>
      <w:keepNext/>
    </w:pPr>
  </w:style>
  <w:style w:type="paragraph" w:customStyle="1" w:styleId="Normal12BoldKeep">
    <w:name w:val="Normal12BoldKeep"/>
    <w:basedOn w:val="Normal12"/>
    <w:pPr>
      <w:keepNext/>
    </w:pPr>
    <w:rPr>
      <w:b/>
    </w:rPr>
  </w:style>
  <w:style w:type="paragraph" w:customStyle="1" w:styleId="Normal12Centre">
    <w:name w:val="Normal12Centre"/>
    <w:basedOn w:val="Normal12"/>
    <w:pPr>
      <w:jc w:val="center"/>
    </w:pPr>
  </w:style>
  <w:style w:type="paragraph" w:customStyle="1" w:styleId="Normal12ItalicKeep">
    <w:name w:val="Normal12ItalicKeep"/>
    <w:basedOn w:val="Normal12"/>
    <w:pPr>
      <w:keepNext/>
    </w:pPr>
    <w:rPr>
      <w:i/>
    </w:rPr>
  </w:style>
  <w:style w:type="paragraph" w:customStyle="1" w:styleId="Normal12J">
    <w:name w:val="Normal12J"/>
    <w:basedOn w:val="Normal12"/>
    <w:pPr>
      <w:jc w:val="both"/>
    </w:pPr>
  </w:style>
  <w:style w:type="paragraph" w:customStyle="1" w:styleId="Normal12Keep">
    <w:name w:val="Normal12Keep"/>
    <w:basedOn w:val="Normal12"/>
    <w:pPr>
      <w:keepNext/>
    </w:pPr>
  </w:style>
  <w:style w:type="paragraph" w:customStyle="1" w:styleId="Normal12Tab">
    <w:name w:val="Normal12Tab"/>
    <w:basedOn w:val="Normal12"/>
    <w:rsid w:val="00FB0836"/>
    <w:pPr>
      <w:tabs>
        <w:tab w:val="left" w:pos="567"/>
      </w:tabs>
    </w:pPr>
  </w:style>
  <w:style w:type="paragraph" w:customStyle="1" w:styleId="Normal30Keep">
    <w:name w:val="Normal30Keep"/>
    <w:basedOn w:val="Normal"/>
    <w:pPr>
      <w:keepNext/>
      <w:spacing w:after="600"/>
    </w:pPr>
  </w:style>
  <w:style w:type="paragraph" w:customStyle="1" w:styleId="Normal36Bold">
    <w:name w:val="Normal36Bold"/>
    <w:basedOn w:val="Normal"/>
    <w:pPr>
      <w:spacing w:after="720"/>
    </w:pPr>
    <w:rPr>
      <w:b/>
    </w:rPr>
  </w:style>
  <w:style w:type="paragraph" w:customStyle="1" w:styleId="NormalBoldCentre">
    <w:name w:val="NormalBoldCentre"/>
    <w:basedOn w:val="Normal"/>
    <w:pPr>
      <w:jc w:val="center"/>
    </w:pPr>
    <w:rPr>
      <w:b/>
    </w:rPr>
  </w:style>
  <w:style w:type="paragraph" w:customStyle="1" w:styleId="NormalBoldKeep">
    <w:name w:val="NormalBoldKeep"/>
    <w:basedOn w:val="Normal"/>
    <w:pPr>
      <w:keepNext/>
    </w:pPr>
    <w:rPr>
      <w:b/>
    </w:rPr>
  </w:style>
  <w:style w:type="paragraph" w:customStyle="1" w:styleId="NormalCentre">
    <w:name w:val="NormalCentre"/>
    <w:basedOn w:val="Normal"/>
    <w:pPr>
      <w:jc w:val="center"/>
    </w:pPr>
  </w:style>
  <w:style w:type="paragraph" w:customStyle="1" w:styleId="NormalCentreKeep">
    <w:name w:val="NormalCentreKeep"/>
    <w:basedOn w:val="Normal"/>
    <w:pPr>
      <w:keepNext/>
      <w:jc w:val="center"/>
    </w:pPr>
  </w:style>
  <w:style w:type="paragraph" w:customStyle="1" w:styleId="NormalKeep">
    <w:name w:val="NormalKeep"/>
    <w:basedOn w:val="Normal"/>
    <w:pPr>
      <w:keepNext/>
    </w:pPr>
  </w:style>
  <w:style w:type="paragraph" w:customStyle="1" w:styleId="TypeDoc">
    <w:name w:val="TypeDoc"/>
    <w:basedOn w:val="Normal24"/>
    <w:pPr>
      <w:ind w:left="1418"/>
    </w:pPr>
    <w:rPr>
      <w:rFonts w:ascii="Arial" w:hAnsi="Arial"/>
      <w:b/>
      <w:sz w:val="48"/>
    </w:rPr>
  </w:style>
  <w:style w:type="paragraph" w:customStyle="1" w:styleId="ZDateRes">
    <w:name w:val="ZDateRes"/>
    <w:basedOn w:val="Normal"/>
    <w:pPr>
      <w:tabs>
        <w:tab w:val="right" w:pos="9072"/>
      </w:tabs>
      <w:spacing w:before="1920" w:after="1200"/>
    </w:pPr>
  </w:style>
  <w:style w:type="paragraph" w:styleId="Header">
    <w:name w:val="header"/>
    <w:basedOn w:val="Normal"/>
    <w:pPr>
      <w:tabs>
        <w:tab w:val="center" w:pos="4320"/>
        <w:tab w:val="right" w:pos="8640"/>
      </w:tabs>
    </w:pPr>
  </w:style>
  <w:style w:type="table" w:styleId="TableGrid">
    <w:name w:val="Table Grid"/>
    <w:basedOn w:val="TableNormal"/>
    <w:rsid w:val="000C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0C7B89"/>
    <w:pPr>
      <w:jc w:val="center"/>
    </w:pPr>
    <w:rPr>
      <w:rFonts w:ascii="Arial" w:hAnsi="Arial" w:cs="Arial"/>
      <w:i/>
      <w:sz w:val="22"/>
      <w:szCs w:val="22"/>
    </w:rPr>
  </w:style>
  <w:style w:type="paragraph" w:customStyle="1" w:styleId="LineTop">
    <w:name w:val="LineTop"/>
    <w:basedOn w:val="Normal"/>
    <w:next w:val="ZSessionDoc"/>
    <w:rsid w:val="000C7B89"/>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680742"/>
    <w:pPr>
      <w:pBdr>
        <w:bottom w:val="single" w:sz="4" w:space="1" w:color="auto"/>
      </w:pBdr>
      <w:spacing w:after="840"/>
      <w:jc w:val="center"/>
    </w:pPr>
    <w:rPr>
      <w:rFonts w:ascii="Arial" w:hAnsi="Arial"/>
      <w:sz w:val="16"/>
      <w:szCs w:val="16"/>
    </w:rPr>
  </w:style>
  <w:style w:type="paragraph" w:customStyle="1" w:styleId="CoverBold24">
    <w:name w:val="CoverBold24"/>
    <w:basedOn w:val="CoverBold"/>
    <w:rsid w:val="00A93F71"/>
    <w:pPr>
      <w:spacing w:after="480"/>
    </w:pPr>
  </w:style>
  <w:style w:type="paragraph" w:customStyle="1" w:styleId="EPName">
    <w:name w:val="EPName"/>
    <w:basedOn w:val="Normal"/>
    <w:rsid w:val="001D6517"/>
    <w:pPr>
      <w:spacing w:before="80" w:after="80"/>
    </w:pPr>
    <w:rPr>
      <w:rFonts w:ascii="Arial Narrow" w:hAnsi="Arial Narrow" w:cs="Arial"/>
      <w:b/>
      <w:color w:val="000000"/>
      <w:sz w:val="32"/>
      <w:szCs w:val="22"/>
      <w:lang w:val="fr-FR"/>
    </w:rPr>
  </w:style>
  <w:style w:type="paragraph" w:customStyle="1" w:styleId="EPTerm">
    <w:name w:val="EPTerm"/>
    <w:basedOn w:val="Normal"/>
    <w:next w:val="Normal"/>
    <w:rsid w:val="001D6517"/>
    <w:pPr>
      <w:spacing w:after="80"/>
    </w:pPr>
    <w:rPr>
      <w:rFonts w:ascii="Arial" w:hAnsi="Arial" w:cs="Arial"/>
      <w:sz w:val="20"/>
      <w:szCs w:val="22"/>
      <w:lang w:val="fr-FR"/>
    </w:rPr>
  </w:style>
  <w:style w:type="paragraph" w:customStyle="1" w:styleId="EPLogo">
    <w:name w:val="EPLogo"/>
    <w:basedOn w:val="Normal"/>
    <w:qFormat/>
    <w:rsid w:val="001D6517"/>
    <w:pPr>
      <w:jc w:val="right"/>
    </w:pPr>
  </w:style>
  <w:style w:type="paragraph" w:customStyle="1" w:styleId="RefProc">
    <w:name w:val="RefProc"/>
    <w:basedOn w:val="Normal"/>
    <w:rsid w:val="00680742"/>
    <w:pPr>
      <w:spacing w:before="240" w:after="240"/>
      <w:jc w:val="right"/>
    </w:pPr>
    <w:rPr>
      <w:rFonts w:ascii="Arial" w:hAnsi="Arial"/>
      <w:b/>
    </w:rPr>
  </w:style>
  <w:style w:type="paragraph" w:customStyle="1" w:styleId="ZDate">
    <w:name w:val="ZDate"/>
    <w:basedOn w:val="Normal"/>
    <w:rsid w:val="00680742"/>
    <w:pPr>
      <w:spacing w:after="1200"/>
    </w:pPr>
  </w:style>
  <w:style w:type="paragraph" w:styleId="FootnoteText">
    <w:name w:val="footnote text"/>
    <w:basedOn w:val="Normal"/>
    <w:link w:val="FootnoteTextChar"/>
    <w:rsid w:val="00EE15E4"/>
    <w:rPr>
      <w:sz w:val="20"/>
    </w:rPr>
  </w:style>
  <w:style w:type="character" w:customStyle="1" w:styleId="FootnoteTextChar">
    <w:name w:val="Footnote Text Char"/>
    <w:basedOn w:val="DefaultParagraphFont"/>
    <w:link w:val="FootnoteText"/>
    <w:rsid w:val="00EE15E4"/>
  </w:style>
  <w:style w:type="character" w:styleId="FootnoteReference">
    <w:name w:val="footnote reference"/>
    <w:basedOn w:val="DefaultParagraphFont"/>
    <w:rsid w:val="00EE15E4"/>
    <w:rPr>
      <w:vertAlign w:val="superscript"/>
    </w:rPr>
  </w:style>
  <w:style w:type="paragraph" w:styleId="BalloonText">
    <w:name w:val="Balloon Text"/>
    <w:basedOn w:val="Normal"/>
    <w:link w:val="BalloonTextChar"/>
    <w:rsid w:val="008F3373"/>
    <w:rPr>
      <w:rFonts w:ascii="Segoe UI" w:hAnsi="Segoe UI" w:cs="Segoe UI"/>
      <w:sz w:val="18"/>
      <w:szCs w:val="18"/>
    </w:rPr>
  </w:style>
  <w:style w:type="character" w:customStyle="1" w:styleId="BalloonTextChar">
    <w:name w:val="Balloon Text Char"/>
    <w:basedOn w:val="DefaultParagraphFont"/>
    <w:link w:val="BalloonText"/>
    <w:rsid w:val="008F3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5399">
      <w:bodyDiv w:val="1"/>
      <w:marLeft w:val="0"/>
      <w:marRight w:val="0"/>
      <w:marTop w:val="0"/>
      <w:marBottom w:val="0"/>
      <w:divBdr>
        <w:top w:val="none" w:sz="0" w:space="0" w:color="auto"/>
        <w:left w:val="none" w:sz="0" w:space="0" w:color="auto"/>
        <w:bottom w:val="none" w:sz="0" w:space="0" w:color="auto"/>
        <w:right w:val="none" w:sz="0" w:space="0" w:color="auto"/>
      </w:divBdr>
    </w:div>
    <w:div w:id="525143097">
      <w:bodyDiv w:val="1"/>
      <w:marLeft w:val="0"/>
      <w:marRight w:val="0"/>
      <w:marTop w:val="0"/>
      <w:marBottom w:val="0"/>
      <w:divBdr>
        <w:top w:val="none" w:sz="0" w:space="0" w:color="auto"/>
        <w:left w:val="none" w:sz="0" w:space="0" w:color="auto"/>
        <w:bottom w:val="none" w:sz="0" w:space="0" w:color="auto"/>
        <w:right w:val="none" w:sz="0" w:space="0" w:color="auto"/>
      </w:divBdr>
    </w:div>
    <w:div w:id="646127522">
      <w:bodyDiv w:val="1"/>
      <w:marLeft w:val="0"/>
      <w:marRight w:val="0"/>
      <w:marTop w:val="0"/>
      <w:marBottom w:val="0"/>
      <w:divBdr>
        <w:top w:val="none" w:sz="0" w:space="0" w:color="auto"/>
        <w:left w:val="none" w:sz="0" w:space="0" w:color="auto"/>
        <w:bottom w:val="none" w:sz="0" w:space="0" w:color="auto"/>
        <w:right w:val="none" w:sz="0" w:space="0" w:color="auto"/>
      </w:divBdr>
    </w:div>
    <w:div w:id="685131105">
      <w:bodyDiv w:val="1"/>
      <w:marLeft w:val="0"/>
      <w:marRight w:val="0"/>
      <w:marTop w:val="0"/>
      <w:marBottom w:val="0"/>
      <w:divBdr>
        <w:top w:val="none" w:sz="0" w:space="0" w:color="auto"/>
        <w:left w:val="none" w:sz="0" w:space="0" w:color="auto"/>
        <w:bottom w:val="none" w:sz="0" w:space="0" w:color="auto"/>
        <w:right w:val="none" w:sz="0" w:space="0" w:color="auto"/>
      </w:divBdr>
    </w:div>
    <w:div w:id="14905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ilieva\AppData\Local\Temp\RE_DelAct_Obje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RE_DelAct_Objections</Template>
  <TotalTime>0</TotalTime>
  <Pages>3</Pages>
  <Words>882</Words>
  <Characters>5249</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RE_DelAct_Objections</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RE_DelAct_Objections</dc:title>
  <dc:subject/>
  <dc:creator>ILIEVA Kunka</dc:creator>
  <cp:keywords/>
  <dc:description/>
  <cp:lastModifiedBy>ILIEVA Kunka</cp:lastModifiedBy>
  <cp:revision>2</cp:revision>
  <cp:lastPrinted>2016-09-01T14:51:00Z</cp:lastPrinted>
  <dcterms:created xsi:type="dcterms:W3CDTF">2016-09-01T14:54:00Z</dcterms:created>
  <dcterms:modified xsi:type="dcterms:W3CDTF">2016-09-01T14:54:00Z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8.8.0 Build [20160701]</vt:lpwstr>
  </property>
  <property fmtid="{D5CDD505-2E9C-101B-9397-08002B2CF9AE}" pid="4" name="LastEdited with">
    <vt:lpwstr>8.8.0 Build [20160701]</vt:lpwstr>
  </property>
  <property fmtid="{D5CDD505-2E9C-101B-9397-08002B2CF9AE}" pid="5" name="&lt;FdR&gt;">
    <vt:lpwstr>1103189</vt:lpwstr>
  </property>
  <property fmtid="{D5CDD505-2E9C-101B-9397-08002B2CF9AE}" pid="6" name="&lt;Type&gt;">
    <vt:lpwstr>RE</vt:lpwstr>
  </property>
  <property fmtid="{D5CDD505-2E9C-101B-9397-08002B2CF9AE}" pid="7" name="&lt;ModelCod&gt;">
    <vt:lpwstr>\\eiciBRUpr1\pdocep$\DocEP\DOCS\General\RE\RE_DelAct\RE_DelAct_Objections.dot(17/02/2016 11:46:06)</vt:lpwstr>
  </property>
  <property fmtid="{D5CDD505-2E9C-101B-9397-08002B2CF9AE}" pid="8" name="&lt;ModelTra&gt;">
    <vt:lpwstr>\\eiciBRUpr1\pdocep$\DocEP\TRANSFIL\EN\RE_DelAct_Objections.EN(21/09/2015 07:36:35)</vt:lpwstr>
  </property>
  <property fmtid="{D5CDD505-2E9C-101B-9397-08002B2CF9AE}" pid="9" name="&lt;Model&gt;">
    <vt:lpwstr>RE_DelAct_Objections</vt:lpwstr>
  </property>
  <property fmtid="{D5CDD505-2E9C-101B-9397-08002B2CF9AE}" pid="10" name="FooterPath">
    <vt:lpwstr>RE\1103189EN.docx</vt:lpwstr>
  </property>
  <property fmtid="{D5CDD505-2E9C-101B-9397-08002B2CF9AE}" pid="11" name="PE Number">
    <vt:lpwstr>587.673</vt:lpwstr>
  </property>
  <property fmtid="{D5CDD505-2E9C-101B-9397-08002B2CF9AE}" pid="12" name="SubscribeElise">
    <vt:lpwstr/>
  </property>
</Properties>
</file>